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B" w:rsidRDefault="0002067E" w:rsidP="00081083">
      <w:pPr>
        <w:suppressAutoHyphens/>
        <w:autoSpaceDE w:val="0"/>
        <w:autoSpaceDN w:val="0"/>
        <w:adjustRightInd w:val="0"/>
        <w:spacing w:after="0"/>
        <w:ind w:left="5664" w:firstLine="708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Załącznik nr 5</w:t>
      </w:r>
      <w:bookmarkStart w:id="0" w:name="_GoBack"/>
      <w:bookmarkEnd w:id="0"/>
    </w:p>
    <w:p w:rsidR="00100A64" w:rsidRPr="00100A64" w:rsidRDefault="00100A64" w:rsidP="00100A64">
      <w:pPr>
        <w:suppressAutoHyphens/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Umowa Nr ………………</w:t>
      </w:r>
    </w:p>
    <w:p w:rsidR="00100A64" w:rsidRPr="00100A64" w:rsidRDefault="00100A64" w:rsidP="00100A64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Cs/>
          <w:sz w:val="24"/>
          <w:szCs w:val="24"/>
          <w:lang w:eastAsia="zh-CN"/>
        </w:rPr>
        <w:t>zawarta w dniu ………………… w Lublinie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pomiędzy: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autoSpaceDN w:val="0"/>
        <w:spacing w:after="0"/>
        <w:jc w:val="both"/>
        <w:textAlignment w:val="baseline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/>
          <w:bCs/>
          <w:kern w:val="3"/>
          <w:sz w:val="24"/>
          <w:szCs w:val="24"/>
        </w:rPr>
        <w:t xml:space="preserve">Instytutem Medycyny Wsi im. Witolda Chodźki </w:t>
      </w: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z siedzibą w Lublinie, ul. Jaczewskiego 2, 20-090 Lublin, wpisanym do rejestru przedsiębiorców prowadzonego przez Sąd Rejonowy Lublin-Wschód w Lublinie z siedzibą w Świdniku, VI Wydział Gospodarczy Krajowego Rejestru Sądowego pod numerem KRS 0000126672, NIP: 7120103781, REGON: 000288521,</w:t>
      </w:r>
    </w:p>
    <w:p w:rsidR="00100A64" w:rsidRPr="00100A64" w:rsidRDefault="00100A64" w:rsidP="00100A64">
      <w:pPr>
        <w:suppressAutoHyphens/>
        <w:autoSpaceDN w:val="0"/>
        <w:spacing w:after="0"/>
        <w:jc w:val="both"/>
        <w:textAlignment w:val="baseline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zwanym dalej „</w:t>
      </w:r>
      <w:r w:rsidRPr="00100A64">
        <w:rPr>
          <w:rFonts w:ascii="Garamond" w:eastAsia="Univers-PL, 'Arial Unicode MS'" w:hAnsi="Garamond" w:cs="Times New Roman"/>
          <w:b/>
          <w:bCs/>
          <w:kern w:val="3"/>
          <w:sz w:val="24"/>
          <w:szCs w:val="24"/>
        </w:rPr>
        <w:t>Zamawiającym</w:t>
      </w: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” lub „</w:t>
      </w:r>
      <w:r w:rsidRPr="00100A64">
        <w:rPr>
          <w:rFonts w:ascii="Garamond" w:eastAsia="Univers-PL, 'Arial Unicode MS'" w:hAnsi="Garamond" w:cs="Times New Roman"/>
          <w:b/>
          <w:bCs/>
          <w:kern w:val="3"/>
          <w:sz w:val="24"/>
          <w:szCs w:val="24"/>
        </w:rPr>
        <w:t>Stroną</w:t>
      </w: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”,</w:t>
      </w:r>
    </w:p>
    <w:p w:rsidR="00100A64" w:rsidRPr="00100A64" w:rsidRDefault="00100A64" w:rsidP="00100A64">
      <w:pPr>
        <w:suppressAutoHyphens/>
        <w:autoSpaceDN w:val="0"/>
        <w:spacing w:after="0"/>
        <w:jc w:val="both"/>
        <w:textAlignment w:val="baseline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reprezentowanym przez: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/>
          <w:bCs/>
          <w:kern w:val="3"/>
          <w:sz w:val="24"/>
          <w:szCs w:val="24"/>
        </w:rPr>
        <w:t>dr hab. n. med. Lecha Panasiuka, prof. IMW – Dyrektora Instytutu Medycyny Wsi,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a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………………………………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z siedzibą w …………………. przy ul. ……………………… </w:t>
      </w:r>
      <w:r w:rsidRPr="00100A64">
        <w:rPr>
          <w:rFonts w:ascii="Garamond" w:eastAsia="Times New Roman" w:hAnsi="Garamond" w:cs="Times New Roman"/>
          <w:bCs/>
          <w:sz w:val="24"/>
          <w:szCs w:val="24"/>
          <w:lang w:eastAsia="zh-CN"/>
        </w:rPr>
        <w:t>wpisaną do rejestru przedsiębiorców prowadzonego przez …………….. pod numerem KRS ……………,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NIP …………., REGON …………….,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zwanym dalej „</w:t>
      </w: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Wykonawcą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”</w:t>
      </w: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 xml:space="preserve"> lub „</w:t>
      </w:r>
      <w:r w:rsidRPr="00100A64">
        <w:rPr>
          <w:rFonts w:ascii="Garamond" w:eastAsia="Univers-PL, 'Arial Unicode MS'" w:hAnsi="Garamond" w:cs="Times New Roman"/>
          <w:b/>
          <w:bCs/>
          <w:kern w:val="3"/>
          <w:sz w:val="24"/>
          <w:szCs w:val="24"/>
        </w:rPr>
        <w:t>Stroną</w:t>
      </w: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”,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reprezentowanym przez: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………………………………………………………………………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Univers-PL, 'Arial Unicode MS'" w:hAnsi="Garamond" w:cs="Times New Roman"/>
          <w:bCs/>
          <w:kern w:val="3"/>
          <w:sz w:val="24"/>
          <w:szCs w:val="24"/>
        </w:rPr>
      </w:pP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zwanymi dalej łącznie „</w:t>
      </w:r>
      <w:r w:rsidRPr="00100A64">
        <w:rPr>
          <w:rFonts w:ascii="Garamond" w:eastAsia="Univers-PL, 'Arial Unicode MS'" w:hAnsi="Garamond" w:cs="Times New Roman"/>
          <w:b/>
          <w:bCs/>
          <w:kern w:val="3"/>
          <w:sz w:val="24"/>
          <w:szCs w:val="24"/>
        </w:rPr>
        <w:t>Stronami</w:t>
      </w: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”,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Univers-PL, 'Arial Unicode MS'" w:hAnsi="Garamond" w:cs="Times New Roman"/>
          <w:bCs/>
          <w:kern w:val="3"/>
          <w:sz w:val="24"/>
          <w:szCs w:val="24"/>
        </w:rPr>
        <w:t>o następującej treści: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zh-CN"/>
        </w:rPr>
      </w:pPr>
    </w:p>
    <w:p w:rsidR="00044451" w:rsidRPr="00044451" w:rsidRDefault="00100A64" w:rsidP="00044451">
      <w:pPr>
        <w:suppressAutoHyphens/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Realizacja zadania z </w:t>
      </w:r>
      <w:r w:rsidR="00044451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w ramach Projektu </w:t>
      </w:r>
      <w:r w:rsidR="00044451" w:rsidRPr="00044451">
        <w:rPr>
          <w:rFonts w:ascii="Garamond" w:eastAsia="Times New Roman" w:hAnsi="Garamond" w:cs="Times New Roman"/>
          <w:bCs/>
          <w:sz w:val="24"/>
          <w:szCs w:val="24"/>
          <w:lang w:eastAsia="zh-CN" w:bidi="pl-PL"/>
        </w:rPr>
        <w:t>współfinansowanego ze środków Unii Europejskiej w ramach Programu Operacyjnego Wiedza Edukacja Rozwój 2014-2020 Priorytet III Szkolnictwo wyższe dla gospodarki i rozwoju Działanie 3.2 studia doktoranckie pt.: „Interdyscyplinarne studia doktoranckie Instytutu Medycyny Wsi w Lublinie ŚRODOWISKO I ZDROWIE”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§ 1</w:t>
      </w:r>
    </w:p>
    <w:p w:rsidR="00100A64" w:rsidRPr="00100A64" w:rsidRDefault="00100A64" w:rsidP="00100A64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Przedmiotem umowy jest jednorazowa dostawa:</w:t>
      </w:r>
      <w:r w:rsidRPr="00100A64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 </w:t>
      </w:r>
      <w:r w:rsidRPr="00100A64">
        <w:rPr>
          <w:rFonts w:ascii="Garamond" w:eastAsia="Times New Roman" w:hAnsi="Garamond" w:cs="Times New Roman"/>
          <w:bCs/>
          <w:iCs/>
          <w:sz w:val="24"/>
          <w:szCs w:val="24"/>
          <w:lang w:eastAsia="zh-CN"/>
        </w:rPr>
        <w:t>…………………………</w:t>
      </w:r>
      <w:r w:rsidRPr="00100A64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ilościach i asortymencie określonych szczegółowo w załączniku do niniejszej umowy.</w:t>
      </w:r>
    </w:p>
    <w:p w:rsidR="00100A64" w:rsidRPr="00100A64" w:rsidRDefault="00100A64" w:rsidP="00100A64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Wykonawca zagwarantuje dostawę odczynników</w:t>
      </w:r>
      <w:r w:rsidR="0004445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/materiałów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, o których mowa w ust. 1, najpóźniej do dnia ………………………………..</w:t>
      </w:r>
    </w:p>
    <w:p w:rsidR="00C00F37" w:rsidRPr="00C00F37" w:rsidRDefault="00100A64" w:rsidP="00C00F37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Dostarczane odczynni</w:t>
      </w:r>
      <w:r w:rsidR="00C00F37">
        <w:rPr>
          <w:rFonts w:ascii="Garamond" w:eastAsia="Times New Roman" w:hAnsi="Garamond" w:cs="Times New Roman"/>
          <w:sz w:val="24"/>
          <w:szCs w:val="24"/>
          <w:lang w:eastAsia="zh-CN"/>
        </w:rPr>
        <w:t>ki winny posiadać co najmniej 6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-miesięczny termin ważności li</w:t>
      </w:r>
      <w:r w:rsidR="00044451">
        <w:rPr>
          <w:rFonts w:ascii="Garamond" w:eastAsia="Times New Roman" w:hAnsi="Garamond" w:cs="Times New Roman"/>
          <w:sz w:val="24"/>
          <w:szCs w:val="24"/>
          <w:lang w:eastAsia="zh-CN"/>
        </w:rPr>
        <w:t>cząc od daty dostawy.</w:t>
      </w:r>
    </w:p>
    <w:p w:rsidR="00100A64" w:rsidRPr="008A754D" w:rsidRDefault="00100A64" w:rsidP="008A754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8A754D">
        <w:rPr>
          <w:rFonts w:ascii="Garamond" w:eastAsia="Times New Roman" w:hAnsi="Garamond" w:cs="Times New Roman"/>
          <w:sz w:val="24"/>
          <w:szCs w:val="24"/>
          <w:lang w:eastAsia="zh-CN"/>
        </w:rPr>
        <w:t>Niedotrzymanie warunku w zakresie terminu ważności produktu uprawnia Zamawiającego do odmowy przyjęcia odczynników dostarczonych przez Wykonawcę, co może skutkować nałożeniem na Wykonawcę kar umownych.</w:t>
      </w:r>
    </w:p>
    <w:p w:rsidR="00100A64" w:rsidRPr="00100A64" w:rsidRDefault="00100A64" w:rsidP="00100A64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Ceny i nazwy dostarczonych produktów na fakturze muszą odpowiadać cenom i nazwom ujętym w załączniku do umowy.</w:t>
      </w:r>
    </w:p>
    <w:p w:rsidR="00100A64" w:rsidRPr="00100A64" w:rsidRDefault="00100A64" w:rsidP="00100A64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§ 2</w:t>
      </w:r>
    </w:p>
    <w:p w:rsidR="00100A64" w:rsidRPr="00100A64" w:rsidRDefault="00100A64" w:rsidP="00100A64">
      <w:pPr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Łączna wartość dostawy wynosi </w:t>
      </w:r>
      <w:r w:rsidRPr="00100A64">
        <w:rPr>
          <w:rFonts w:ascii="Garamond" w:eastAsia="Times New Roman" w:hAnsi="Garamond" w:cs="Times New Roman"/>
          <w:iCs/>
          <w:sz w:val="24"/>
          <w:szCs w:val="24"/>
          <w:lang w:eastAsia="zh-CN"/>
        </w:rPr>
        <w:t xml:space="preserve">……………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brutto (słownie: …………. złotych 00/100).</w:t>
      </w:r>
    </w:p>
    <w:p w:rsidR="00100A64" w:rsidRPr="00100A64" w:rsidRDefault="00100A64" w:rsidP="00100A64">
      <w:pPr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Cena, o której mowa w ust. 1, uwzględnia wszystkie czynniki cenotwórcze w tym podatek od towarów i usług, koszty transportu i ubezpieczenia przedmiotu dostawy podczas transportu.</w:t>
      </w:r>
    </w:p>
    <w:p w:rsidR="00100A64" w:rsidRPr="00100A64" w:rsidRDefault="00100A64" w:rsidP="00100A64">
      <w:pPr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przypadku zmiany stawki podatku od towarów i usług, wartość brutto wskazana w umowie może ulec zmianie, przy czym podwyżka cen nie może być wyższa niż współczynnik wzrostu podatku od towarów i usług.</w:t>
      </w:r>
    </w:p>
    <w:p w:rsidR="00100A64" w:rsidRPr="00100A64" w:rsidRDefault="00100A64" w:rsidP="00100A64">
      <w:pPr>
        <w:tabs>
          <w:tab w:val="left" w:pos="360"/>
        </w:tabs>
        <w:suppressAutoHyphens/>
        <w:spacing w:after="0"/>
        <w:ind w:hanging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§ 3</w:t>
      </w:r>
    </w:p>
    <w:p w:rsidR="00100A64" w:rsidRPr="00100A64" w:rsidRDefault="00100A64" w:rsidP="00100A64">
      <w:pPr>
        <w:numPr>
          <w:ilvl w:val="0"/>
          <w:numId w:val="13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Dostawa zamówionych materiałów następować będzie środkiem transportu Wykonawcy i na jego koszt.</w:t>
      </w:r>
    </w:p>
    <w:p w:rsidR="00100A64" w:rsidRPr="00100A64" w:rsidRDefault="00100A64" w:rsidP="00100A64">
      <w:pPr>
        <w:numPr>
          <w:ilvl w:val="0"/>
          <w:numId w:val="13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przypadku zakwestionowania przez Zamawiającego jakości przedmiotu dostawy Wykonawca dokonana wymianu zakwestionowanych jakościowo rzeczy na wolne od wad w terminie …… dni kalendarzowych od dnia przyjęcia zgłoszenia reklamacyjnego.</w:t>
      </w:r>
    </w:p>
    <w:p w:rsidR="00100A64" w:rsidRPr="00100A64" w:rsidRDefault="00100A64" w:rsidP="00100A64">
      <w:pPr>
        <w:suppressAutoHyphens/>
        <w:spacing w:after="0"/>
        <w:ind w:left="284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ind w:left="284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§ 4</w:t>
      </w:r>
    </w:p>
    <w:p w:rsidR="00100A64" w:rsidRPr="00100A64" w:rsidRDefault="00100A64" w:rsidP="00100A6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Zamawiający zobowiązuje się regulować należności z tytułu zrealizowanych dostaw przelewem na rachunek bankowy Wykonawcy w ciągu 30 dni od daty otrzymania prawidłowo wystawionej faktury.</w:t>
      </w:r>
    </w:p>
    <w:p w:rsidR="00100A64" w:rsidRPr="00100A64" w:rsidRDefault="00100A64" w:rsidP="00100A6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Za dzień zapłaty należności wynikającej z niniejszej umowy Strony uznają dzień obciążenia rachunku bankowego Zamawiającego.</w:t>
      </w:r>
    </w:p>
    <w:p w:rsidR="00100A64" w:rsidRPr="00100A64" w:rsidRDefault="00100A64" w:rsidP="00100A6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</w:pP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>Wykonawca nie może przenieść na osobę trzecią wierzytelności wynikających z niniejszej umowy w stosunku do Zamawiającego.</w:t>
      </w:r>
    </w:p>
    <w:p w:rsidR="00100A64" w:rsidRPr="00100A64" w:rsidRDefault="00100A64" w:rsidP="00100A6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</w:pP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>Wykonawca zobowiązuje się do niedokonywania przekazu świadczenia Zamawiającego w rozumieniu art. 921</w:t>
      </w:r>
      <w:r w:rsidRPr="00100A64">
        <w:rPr>
          <w:rFonts w:ascii="Garamond" w:eastAsia="Arial Unicode MS" w:hAnsi="Garamond" w:cs="Mangal"/>
          <w:kern w:val="1"/>
          <w:sz w:val="24"/>
          <w:szCs w:val="24"/>
          <w:vertAlign w:val="superscript"/>
          <w:lang w:eastAsia="hi-IN" w:bidi="hi-IN"/>
        </w:rPr>
        <w:t>1</w:t>
      </w: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>-921</w:t>
      </w:r>
      <w:r w:rsidRPr="00100A64">
        <w:rPr>
          <w:rFonts w:ascii="Garamond" w:eastAsia="Arial Unicode MS" w:hAnsi="Garamond" w:cs="Mangal"/>
          <w:kern w:val="1"/>
          <w:sz w:val="24"/>
          <w:szCs w:val="24"/>
          <w:vertAlign w:val="superscript"/>
          <w:lang w:eastAsia="hi-IN" w:bidi="hi-IN"/>
        </w:rPr>
        <w:t>5</w:t>
      </w: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 xml:space="preserve"> ustawy z dnia 23 kwietnia 1964 r. – Kodeks cywilny (tekst jednolity – Dz. U. z 2019 r., poz. 1145 ze zm.), w całości lub w części, należnego na podstawie niniejszej umowy.</w:t>
      </w:r>
    </w:p>
    <w:p w:rsidR="00100A64" w:rsidRPr="00100A64" w:rsidRDefault="00100A64" w:rsidP="00100A6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</w:pP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>W razie niewywiązania się ze zobowiązania, o którym mowa w ust. 4, Wykonawca zapłaci Zamawiającemu karę umowną w wysokości wartości przekazanego świadczenia.</w:t>
      </w:r>
    </w:p>
    <w:p w:rsidR="00100A64" w:rsidRPr="00100A64" w:rsidRDefault="00100A64" w:rsidP="00100A6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</w:pP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>Wykonawca zobowiązuje się do niezawierania umowy poręczenia przez osoby trzecie za długi Zamawiającego należne na podstawie niniejszej umowy w rozumieniu art. 876-887 ustawy z dnia 23 kwietnia 1964 r. – Kodeks cywilny (tekst jednolity – Dz. U. z 2019 r., poz. 1145 ze zm.).</w:t>
      </w:r>
    </w:p>
    <w:p w:rsidR="00100A64" w:rsidRPr="00100A64" w:rsidRDefault="00100A64" w:rsidP="00100A64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razie niewywiązania się ze zobowiązania, o którym mowa w ust. 6, Wykonawca zapłaci Zamawiającemu karę umowną w wysokości wartości świadczenia, które poręczyciel spełnił wobec Wykonawcy.</w:t>
      </w:r>
    </w:p>
    <w:p w:rsidR="00100A64" w:rsidRPr="00100A64" w:rsidRDefault="00100A64" w:rsidP="00100A6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Zamawiający ma prawo dochodzenia na zasadach ogólnych odszkodowania przewyższającego karę umowną, jeżeli naliczona i pobrana kara umowna nie pokryje wysokości poniesionej przez Zamawiającego faktycznej </w:t>
      </w:r>
      <w:r w:rsidRPr="00100A64">
        <w:rPr>
          <w:rFonts w:ascii="Garamond" w:eastAsia="Times New Roman" w:hAnsi="Garamond" w:cs="Times New Roman"/>
          <w:spacing w:val="-3"/>
          <w:sz w:val="24"/>
          <w:szCs w:val="24"/>
          <w:lang w:eastAsia="zh-CN"/>
        </w:rPr>
        <w:t>szkody.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ind w:left="283" w:hanging="283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§ 5</w:t>
      </w:r>
    </w:p>
    <w:p w:rsidR="00100A64" w:rsidRPr="00100A64" w:rsidRDefault="00100A64" w:rsidP="00100A6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Zamawiającemu przysługuje prawo wypowiedzenia umowy za 1-miesięcznym okresem wypowiedzenia.</w:t>
      </w:r>
    </w:p>
    <w:p w:rsidR="00100A64" w:rsidRPr="00100A64" w:rsidRDefault="00100A64" w:rsidP="00100A64">
      <w:pPr>
        <w:numPr>
          <w:ilvl w:val="0"/>
          <w:numId w:val="45"/>
        </w:numPr>
        <w:tabs>
          <w:tab w:val="left" w:pos="108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Dopuszczalne jest wcześniejsze rozwiązanie umowy za porozumieniem Stron.</w:t>
      </w:r>
    </w:p>
    <w:p w:rsidR="00100A64" w:rsidRPr="00100A64" w:rsidRDefault="00100A64" w:rsidP="00100A64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W przypadku niedostarczenia zamówionego przedmiotu umowy Wykonawca zobowiązany jest oprócz zapłaty kary umownej w wysokości 10% wartości niedostarczonego przedmiotu zamówienia, do pokrycia różnicy w cenie pomiędzy ceną zakupu wynikającą z umowy, a ceną jaką zapłacił Zamawiający u innego wykonawcy za przedmioty, które miały być dostarczone przez Wykonawcę. </w:t>
      </w:r>
    </w:p>
    <w:p w:rsidR="00100A64" w:rsidRPr="00100A64" w:rsidRDefault="00100A64" w:rsidP="00100A64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przypadku odstąpienia Zamawiającego od umowy z jego winy, Zamawiający zapłaci Wykonawcy karę umowną w wysokości 10% wartości niezrealizowanej części umowy.</w:t>
      </w:r>
    </w:p>
    <w:p w:rsidR="00100A64" w:rsidRPr="00100A64" w:rsidRDefault="00100A64" w:rsidP="00100A64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W przypadku odstąpienia Wykonawcy od umowy z przyczyn leżących po jego stronie,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Wykonawca zapłaci Zamawiającemu karę umowną w wysokości 10% wartości niezrealizowanej części umowy.</w:t>
      </w:r>
    </w:p>
    <w:p w:rsidR="00100A64" w:rsidRPr="00100A64" w:rsidRDefault="00100A64" w:rsidP="00100A64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Odstąpienie od umowy przez Zamawiającego bądź przez Wykonawcę nie powoduje wygaśnięcia obowiązku Wykonawcy do zapłaty ewentualnych kar umownych powstałych i obliczonych zgodnie z umową.</w:t>
      </w:r>
    </w:p>
    <w:p w:rsidR="00100A64" w:rsidRPr="00100A64" w:rsidRDefault="00100A64" w:rsidP="00100A64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przypadku nieterminowej zapłaty faktur Wykonawcy przysługuje prawo do żądania odsetek</w:t>
      </w:r>
      <w:r w:rsidRPr="00100A64">
        <w:rPr>
          <w:rFonts w:ascii="Garamond" w:eastAsia="Times New Roman" w:hAnsi="Garamond" w:cs="Times New Roman"/>
          <w:spacing w:val="-6"/>
          <w:sz w:val="24"/>
          <w:szCs w:val="24"/>
          <w:lang w:eastAsia="zh-CN"/>
        </w:rPr>
        <w:t xml:space="preserve">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ustawowych za opóźnienie zgodnie z obowiązującymi w tym zakresie przepisami odrębnymi.</w:t>
      </w:r>
    </w:p>
    <w:p w:rsidR="00100A64" w:rsidRPr="00100A64" w:rsidRDefault="00100A64" w:rsidP="00100A64">
      <w:pPr>
        <w:numPr>
          <w:ilvl w:val="0"/>
          <w:numId w:val="45"/>
        </w:numPr>
        <w:tabs>
          <w:tab w:val="left" w:pos="108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Naliczona kwota kary umownej może zostać potrącona z należnym Wykonawcy wynagrodzeniem z tytułu wykonania niniejszej</w:t>
      </w:r>
      <w:r w:rsidRPr="00100A64">
        <w:rPr>
          <w:rFonts w:ascii="Garamond" w:eastAsia="Times New Roman" w:hAnsi="Garamond" w:cs="Times New Roman"/>
          <w:spacing w:val="-5"/>
          <w:sz w:val="24"/>
          <w:szCs w:val="24"/>
          <w:lang w:eastAsia="zh-CN"/>
        </w:rPr>
        <w:t xml:space="preserve"> </w:t>
      </w:r>
      <w:r w:rsidRPr="00100A64">
        <w:rPr>
          <w:rFonts w:ascii="Garamond" w:eastAsia="Times New Roman" w:hAnsi="Garamond" w:cs="Times New Roman"/>
          <w:spacing w:val="-4"/>
          <w:sz w:val="24"/>
          <w:szCs w:val="24"/>
          <w:lang w:eastAsia="zh-CN"/>
        </w:rPr>
        <w:t>umowy, na co Wykonawca wyraża zgodę.</w:t>
      </w:r>
    </w:p>
    <w:p w:rsidR="00100A64" w:rsidRPr="00100A64" w:rsidRDefault="00100A64" w:rsidP="00100A64">
      <w:pPr>
        <w:numPr>
          <w:ilvl w:val="0"/>
          <w:numId w:val="45"/>
        </w:numPr>
        <w:tabs>
          <w:tab w:val="left" w:pos="108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Zamawiający ma prawo dochodzenia na zasadach ogólnych odszkodowania przewyższającego karę umowną, jeżeli naliczona i pobrana kara umowna nie pokryje wysokości poniesionej przez Zamawiającego faktycznej szkody.</w:t>
      </w:r>
    </w:p>
    <w:p w:rsidR="00100A64" w:rsidRPr="00100A64" w:rsidRDefault="00100A64" w:rsidP="00100A64">
      <w:pPr>
        <w:tabs>
          <w:tab w:val="left" w:pos="1080"/>
        </w:tabs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tabs>
          <w:tab w:val="left" w:pos="360"/>
        </w:tabs>
        <w:suppressAutoHyphens/>
        <w:spacing w:after="0"/>
        <w:ind w:left="283" w:hanging="283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§ 6</w:t>
      </w:r>
    </w:p>
    <w:p w:rsidR="00100A64" w:rsidRPr="00100A64" w:rsidRDefault="00100A64" w:rsidP="00100A64">
      <w:pPr>
        <w:numPr>
          <w:ilvl w:val="0"/>
          <w:numId w:val="40"/>
        </w:numPr>
        <w:tabs>
          <w:tab w:val="clear" w:pos="405"/>
          <w:tab w:val="left" w:pos="360"/>
          <w:tab w:val="num" w:pos="720"/>
          <w:tab w:val="num" w:pos="1488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100A64" w:rsidRPr="00100A64" w:rsidRDefault="00100A64" w:rsidP="00100A64">
      <w:pPr>
        <w:numPr>
          <w:ilvl w:val="0"/>
          <w:numId w:val="40"/>
        </w:numPr>
        <w:tabs>
          <w:tab w:val="clear" w:pos="405"/>
          <w:tab w:val="left" w:pos="360"/>
          <w:tab w:val="num" w:pos="720"/>
          <w:tab w:val="num" w:pos="1488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 przypadku, o którym mowa w ust. 1, Wykonawca może żądać wyłącznie wynagrodzenia należnego z tytułu wykonanej części niniejszej umowy.</w:t>
      </w:r>
    </w:p>
    <w:p w:rsidR="00100A64" w:rsidRPr="00100A64" w:rsidRDefault="00100A64" w:rsidP="00100A64">
      <w:pPr>
        <w:numPr>
          <w:ilvl w:val="0"/>
          <w:numId w:val="40"/>
        </w:numPr>
        <w:tabs>
          <w:tab w:val="clear" w:pos="405"/>
          <w:tab w:val="left" w:pos="360"/>
          <w:tab w:val="num" w:pos="720"/>
          <w:tab w:val="num" w:pos="1488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Zmiana niniejszej umowy może nastąpić w sprawach nieistotnych oraz jedynie w zakresie zmiany wysokości wynagrodzenia należnego Wykonawcy w przypadku zmiany uregulowań w zakresie podatku od towarów i usług, z zastrzeżeniem iż cena netto nie ulegnie zmianie.</w:t>
      </w:r>
    </w:p>
    <w:p w:rsidR="00100A64" w:rsidRPr="00100A64" w:rsidRDefault="00100A64" w:rsidP="00100A64">
      <w:pPr>
        <w:numPr>
          <w:ilvl w:val="0"/>
          <w:numId w:val="40"/>
        </w:numPr>
        <w:tabs>
          <w:tab w:val="clear" w:pos="405"/>
          <w:tab w:val="num" w:pos="720"/>
        </w:tabs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Obniżenie wysokości wynagrodzenia należnego Wykonawcy może nastąpić w każdym czasie i nie wymaga zgody Zamawiającego ani sporządzenia aneksu do umowy.</w:t>
      </w:r>
    </w:p>
    <w:p w:rsidR="00100A64" w:rsidRPr="00100A64" w:rsidRDefault="00100A64" w:rsidP="00100A64">
      <w:pPr>
        <w:tabs>
          <w:tab w:val="left" w:pos="360"/>
        </w:tabs>
        <w:suppressAutoHyphens/>
        <w:spacing w:after="0"/>
        <w:ind w:left="283" w:hanging="283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§ 7</w:t>
      </w:r>
    </w:p>
    <w:p w:rsidR="00100A64" w:rsidRPr="00100A64" w:rsidRDefault="00100A64" w:rsidP="00100A64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W sprawach nieuregulowanych niniejszą umową zastosowanie mają przepisy </w:t>
      </w:r>
      <w:r w:rsidRPr="00100A64">
        <w:rPr>
          <w:rFonts w:ascii="Garamond" w:eastAsia="Arial Unicode MS" w:hAnsi="Garamond" w:cs="Mangal"/>
          <w:kern w:val="1"/>
          <w:sz w:val="24"/>
          <w:szCs w:val="24"/>
          <w:lang w:eastAsia="hi-IN" w:bidi="hi-IN"/>
        </w:rPr>
        <w:t xml:space="preserve">ustawy z dnia 23 kwietnia 1964 r. – Kodeks cywilny (tekst jednolity – Dz. U. z 2019 r., poz. 1145 ze zm.)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oraz ustawy</w:t>
      </w:r>
      <w:r w:rsidRPr="00100A64">
        <w:rPr>
          <w:rFonts w:ascii="Open Sans" w:eastAsia="Times New Roman" w:hAnsi="Open Sans" w:cs="Times New Roman"/>
          <w:color w:val="333333"/>
          <w:sz w:val="31"/>
          <w:szCs w:val="31"/>
          <w:shd w:val="clear" w:color="auto" w:fill="FFFFFF"/>
          <w:lang w:eastAsia="zh-CN"/>
        </w:rPr>
        <w:t xml:space="preserve"> </w:t>
      </w: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z dnia 29 stycznia 2004 r. – Prawo zamówień publicznych (tekst jednolity – Dz. U. z 2018 r., poz. 1986 z </w:t>
      </w:r>
      <w:proofErr w:type="spellStart"/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późn</w:t>
      </w:r>
      <w:proofErr w:type="spellEnd"/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. zm.).</w:t>
      </w:r>
    </w:p>
    <w:p w:rsidR="00100A64" w:rsidRPr="00100A64" w:rsidRDefault="00100A64" w:rsidP="00100A64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Wszelkie zmiany niniejszej umowy wymagają formy pisemnej pod rygorem nieważności.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§ 9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Ewentualne spory mogące wyniknąć z realizacji niniejszej umowy będzie rozstrzygał właściwy rzeczowo Sąd powszechny w Lublinie.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ind w:left="283" w:hanging="283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b/>
          <w:sz w:val="24"/>
          <w:szCs w:val="24"/>
          <w:lang w:eastAsia="zh-CN"/>
        </w:rPr>
        <w:t>§ 10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100A64">
        <w:rPr>
          <w:rFonts w:ascii="Garamond" w:eastAsia="Times New Roman" w:hAnsi="Garamond" w:cs="Times New Roman"/>
          <w:sz w:val="24"/>
          <w:szCs w:val="24"/>
          <w:lang w:eastAsia="zh-CN"/>
        </w:rPr>
        <w:t>Umowę sporządzono w dwóch jednobrzmiących egzemplarzach, jeden dla Zamawiającego i jeden dla Wykonawcy.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Wykonawca </w:t>
      </w: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 xml:space="preserve"> </w:t>
      </w: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 w:rsidRPr="00100A64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Zamawiający </w:t>
      </w:r>
    </w:p>
    <w:p w:rsidR="00100A64" w:rsidRPr="00100A64" w:rsidRDefault="00100A64" w:rsidP="00100A64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6A3DF1" w:rsidRPr="00100A64" w:rsidRDefault="006A3DF1" w:rsidP="00100A64"/>
    <w:sectPr w:rsidR="006A3DF1" w:rsidRPr="00100A64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E7" w:rsidRDefault="00264DE7" w:rsidP="007B62C1">
      <w:pPr>
        <w:spacing w:after="0" w:line="240" w:lineRule="auto"/>
      </w:pPr>
      <w:r>
        <w:separator/>
      </w:r>
    </w:p>
  </w:endnote>
  <w:endnote w:type="continuationSeparator" w:id="0">
    <w:p w:rsidR="00264DE7" w:rsidRDefault="00264DE7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, 'Arial Unicode MS'">
    <w:charset w:val="00"/>
    <w:family w:val="swiss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E7" w:rsidRDefault="00264DE7" w:rsidP="007B62C1">
      <w:pPr>
        <w:spacing w:after="0" w:line="240" w:lineRule="auto"/>
      </w:pPr>
      <w:r>
        <w:separator/>
      </w:r>
    </w:p>
  </w:footnote>
  <w:footnote w:type="continuationSeparator" w:id="0">
    <w:p w:rsidR="00264DE7" w:rsidRDefault="00264DE7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</w:p>
  <w:p w:rsidR="007B62C1" w:rsidRDefault="00E350EB">
    <w:pPr>
      <w:pStyle w:val="Nagwek"/>
    </w:pPr>
    <w:r>
      <w:rPr>
        <w:noProof/>
        <w:lang w:eastAsia="pl-PL"/>
      </w:rPr>
      <w:drawing>
        <wp:inline distT="0" distB="0" distL="0" distR="0">
          <wp:extent cx="5760085" cy="582279"/>
          <wp:effectExtent l="0" t="0" r="0" b="8890"/>
          <wp:docPr id="1" name="Obraz 1" descr="firmowka_z_i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z_i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000000A"/>
    <w:multiLevelType w:val="multilevel"/>
    <w:tmpl w:val="177665D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5D36"/>
    <w:multiLevelType w:val="multilevel"/>
    <w:tmpl w:val="594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DB5"/>
    <w:multiLevelType w:val="hybridMultilevel"/>
    <w:tmpl w:val="9A6C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2F63"/>
    <w:multiLevelType w:val="multilevel"/>
    <w:tmpl w:val="32FE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2D3"/>
    <w:multiLevelType w:val="hybridMultilevel"/>
    <w:tmpl w:val="3D2E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64FAB"/>
    <w:multiLevelType w:val="hybridMultilevel"/>
    <w:tmpl w:val="359059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05DF"/>
    <w:multiLevelType w:val="hybridMultilevel"/>
    <w:tmpl w:val="F6920A6A"/>
    <w:lvl w:ilvl="0" w:tplc="F70053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D33DA"/>
    <w:multiLevelType w:val="multilevel"/>
    <w:tmpl w:val="CA00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D1F14"/>
    <w:multiLevelType w:val="hybridMultilevel"/>
    <w:tmpl w:val="DAE0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001D5E"/>
    <w:multiLevelType w:val="hybridMultilevel"/>
    <w:tmpl w:val="8B4A3FAC"/>
    <w:lvl w:ilvl="0" w:tplc="2812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212A2"/>
    <w:multiLevelType w:val="hybridMultilevel"/>
    <w:tmpl w:val="08A28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5769DB"/>
    <w:multiLevelType w:val="multilevel"/>
    <w:tmpl w:val="5A42F49C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2">
    <w:nsid w:val="4350150F"/>
    <w:multiLevelType w:val="hybridMultilevel"/>
    <w:tmpl w:val="4972E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5ED6"/>
    <w:multiLevelType w:val="multilevel"/>
    <w:tmpl w:val="0D5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24C8B"/>
    <w:multiLevelType w:val="multilevel"/>
    <w:tmpl w:val="676E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7621E"/>
    <w:multiLevelType w:val="multilevel"/>
    <w:tmpl w:val="BA8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29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30">
    <w:nsid w:val="57521E87"/>
    <w:multiLevelType w:val="hybridMultilevel"/>
    <w:tmpl w:val="DA0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F2010"/>
    <w:multiLevelType w:val="hybridMultilevel"/>
    <w:tmpl w:val="728A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6AA9"/>
    <w:multiLevelType w:val="multilevel"/>
    <w:tmpl w:val="E5D849E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mallCap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A5DE9"/>
    <w:multiLevelType w:val="hybridMultilevel"/>
    <w:tmpl w:val="1250F8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AEE7B4D"/>
    <w:multiLevelType w:val="multilevel"/>
    <w:tmpl w:val="FA7C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D2C07"/>
    <w:multiLevelType w:val="hybridMultilevel"/>
    <w:tmpl w:val="A35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F067E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BF24822"/>
    <w:multiLevelType w:val="multilevel"/>
    <w:tmpl w:val="F08C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2"/>
  </w:num>
  <w:num w:numId="5">
    <w:abstractNumId w:val="2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3"/>
  </w:num>
  <w:num w:numId="15">
    <w:abstractNumId w:val="40"/>
  </w:num>
  <w:num w:numId="16">
    <w:abstractNumId w:val="33"/>
  </w:num>
  <w:num w:numId="17">
    <w:abstractNumId w:val="38"/>
  </w:num>
  <w:num w:numId="18">
    <w:abstractNumId w:val="23"/>
  </w:num>
  <w:num w:numId="19">
    <w:abstractNumId w:val="5"/>
  </w:num>
  <w:num w:numId="20">
    <w:abstractNumId w:val="29"/>
  </w:num>
  <w:num w:numId="21">
    <w:abstractNumId w:val="36"/>
  </w:num>
  <w:num w:numId="22">
    <w:abstractNumId w:val="10"/>
  </w:num>
  <w:num w:numId="23">
    <w:abstractNumId w:val="39"/>
  </w:num>
  <w:num w:numId="24">
    <w:abstractNumId w:val="3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7"/>
  </w:num>
  <w:num w:numId="29">
    <w:abstractNumId w:val="31"/>
  </w:num>
  <w:num w:numId="30">
    <w:abstractNumId w:val="6"/>
  </w:num>
  <w:num w:numId="31">
    <w:abstractNumId w:val="42"/>
  </w:num>
  <w:num w:numId="32">
    <w:abstractNumId w:val="7"/>
  </w:num>
  <w:num w:numId="33">
    <w:abstractNumId w:val="26"/>
  </w:num>
  <w:num w:numId="34">
    <w:abstractNumId w:val="15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35"/>
  </w:num>
  <w:num w:numId="37">
    <w:abstractNumId w:val="27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4"/>
  </w:num>
  <w:num w:numId="40">
    <w:abstractNumId w:val="1"/>
  </w:num>
  <w:num w:numId="41">
    <w:abstractNumId w:val="2"/>
  </w:num>
  <w:num w:numId="42">
    <w:abstractNumId w:val="20"/>
  </w:num>
  <w:num w:numId="43">
    <w:abstractNumId w:val="19"/>
  </w:num>
  <w:num w:numId="44">
    <w:abstractNumId w:val="21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2067E"/>
    <w:rsid w:val="00044451"/>
    <w:rsid w:val="00081083"/>
    <w:rsid w:val="000907BB"/>
    <w:rsid w:val="000C7125"/>
    <w:rsid w:val="000D51AA"/>
    <w:rsid w:val="00100A64"/>
    <w:rsid w:val="001060BB"/>
    <w:rsid w:val="00142606"/>
    <w:rsid w:val="0015045E"/>
    <w:rsid w:val="001B04E9"/>
    <w:rsid w:val="001D5451"/>
    <w:rsid w:val="00264DE7"/>
    <w:rsid w:val="0026682A"/>
    <w:rsid w:val="0029000A"/>
    <w:rsid w:val="00295063"/>
    <w:rsid w:val="002E5694"/>
    <w:rsid w:val="003527B6"/>
    <w:rsid w:val="00361E4F"/>
    <w:rsid w:val="003A5BA6"/>
    <w:rsid w:val="00434808"/>
    <w:rsid w:val="004C5BA8"/>
    <w:rsid w:val="00565AD7"/>
    <w:rsid w:val="005852FC"/>
    <w:rsid w:val="005868A5"/>
    <w:rsid w:val="00594A2D"/>
    <w:rsid w:val="005B03CD"/>
    <w:rsid w:val="005D5C6E"/>
    <w:rsid w:val="005E22B8"/>
    <w:rsid w:val="0061286E"/>
    <w:rsid w:val="00636849"/>
    <w:rsid w:val="0068605E"/>
    <w:rsid w:val="00697BF7"/>
    <w:rsid w:val="006A0593"/>
    <w:rsid w:val="006A37C8"/>
    <w:rsid w:val="006A3DF1"/>
    <w:rsid w:val="006B644A"/>
    <w:rsid w:val="006F25D5"/>
    <w:rsid w:val="006F6972"/>
    <w:rsid w:val="00706087"/>
    <w:rsid w:val="0073361E"/>
    <w:rsid w:val="00740643"/>
    <w:rsid w:val="00762D69"/>
    <w:rsid w:val="0076508B"/>
    <w:rsid w:val="007875B2"/>
    <w:rsid w:val="007B62C1"/>
    <w:rsid w:val="00805759"/>
    <w:rsid w:val="00846C66"/>
    <w:rsid w:val="008A754D"/>
    <w:rsid w:val="008D4A65"/>
    <w:rsid w:val="008D65F2"/>
    <w:rsid w:val="008F6B96"/>
    <w:rsid w:val="009018BB"/>
    <w:rsid w:val="00912E97"/>
    <w:rsid w:val="00917DEA"/>
    <w:rsid w:val="009511ED"/>
    <w:rsid w:val="00986932"/>
    <w:rsid w:val="00990A2C"/>
    <w:rsid w:val="009C3A32"/>
    <w:rsid w:val="009D49D9"/>
    <w:rsid w:val="00A2283A"/>
    <w:rsid w:val="00A3023A"/>
    <w:rsid w:val="00A50838"/>
    <w:rsid w:val="00A600A7"/>
    <w:rsid w:val="00AB78F7"/>
    <w:rsid w:val="00AE73E9"/>
    <w:rsid w:val="00B17E5A"/>
    <w:rsid w:val="00B62DB2"/>
    <w:rsid w:val="00B645BD"/>
    <w:rsid w:val="00BD456F"/>
    <w:rsid w:val="00BF0004"/>
    <w:rsid w:val="00BF5ADE"/>
    <w:rsid w:val="00C002B8"/>
    <w:rsid w:val="00C00F37"/>
    <w:rsid w:val="00C26875"/>
    <w:rsid w:val="00C56046"/>
    <w:rsid w:val="00C6737F"/>
    <w:rsid w:val="00C85DB6"/>
    <w:rsid w:val="00CA3F48"/>
    <w:rsid w:val="00CA7DF8"/>
    <w:rsid w:val="00CB746F"/>
    <w:rsid w:val="00CD101F"/>
    <w:rsid w:val="00CE3348"/>
    <w:rsid w:val="00D779E0"/>
    <w:rsid w:val="00DB69CD"/>
    <w:rsid w:val="00DD034C"/>
    <w:rsid w:val="00E0368F"/>
    <w:rsid w:val="00E0684C"/>
    <w:rsid w:val="00E1029B"/>
    <w:rsid w:val="00E17485"/>
    <w:rsid w:val="00E350EB"/>
    <w:rsid w:val="00E6449B"/>
    <w:rsid w:val="00E65D02"/>
    <w:rsid w:val="00E8102A"/>
    <w:rsid w:val="00E8478F"/>
    <w:rsid w:val="00E96670"/>
    <w:rsid w:val="00EA6A83"/>
    <w:rsid w:val="00F027E4"/>
    <w:rsid w:val="00F22CF8"/>
    <w:rsid w:val="00F45E5E"/>
    <w:rsid w:val="00F879E2"/>
    <w:rsid w:val="00F930F1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0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0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2</cp:revision>
  <cp:lastPrinted>2017-06-13T08:25:00Z</cp:lastPrinted>
  <dcterms:created xsi:type="dcterms:W3CDTF">2020-02-14T06:47:00Z</dcterms:created>
  <dcterms:modified xsi:type="dcterms:W3CDTF">2020-02-14T06:47:00Z</dcterms:modified>
</cp:coreProperties>
</file>